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left="708.6614173228347" w:firstLine="285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“Protocolo de Western  Blot ( Análisis de Vias de Señalizacion)”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Ponente: Fernanda Itzel Beltrán Islas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-708.6614173228347" w:firstLine="850.3937007874015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                                     Leslie Fernanda Guzmán Lazcano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Jueves 05 de Diciembre del 2019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|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3750"/>
        <w:gridCol w:w="1500"/>
        <w:gridCol w:w="3240"/>
        <w:gridCol w:w="1290"/>
        <w:tblGridChange w:id="0">
          <w:tblGrid>
            <w:gridCol w:w="568"/>
            <w:gridCol w:w="3750"/>
            <w:gridCol w:w="1500"/>
            <w:gridCol w:w="3240"/>
            <w:gridCol w:w="1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48.346456692913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z w:val="36"/>
        <w:szCs w:val="36"/>
        <w:rtl w:val="0"/>
      </w:rPr>
      <w:t xml:space="preserve">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Universidad Autónoma de Baja California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63500</wp:posOffset>
          </wp:positionH>
          <wp:positionV relativeFrom="paragraph">
            <wp:posOffset>95250</wp:posOffset>
          </wp:positionV>
          <wp:extent cx="775970" cy="113855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" cy="1138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5826450</wp:posOffset>
          </wp:positionH>
          <wp:positionV relativeFrom="paragraph">
            <wp:posOffset>0</wp:posOffset>
          </wp:positionV>
          <wp:extent cx="1365885" cy="102552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5885" cy="1025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Facultad de Deportes | Coordinación de Formación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Básica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